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B7A1D" w14:textId="77777777" w:rsidR="000344B4" w:rsidRPr="000344B4" w:rsidRDefault="000344B4" w:rsidP="000344B4">
      <w:pPr>
        <w:shd w:val="clear" w:color="auto" w:fill="FFFFFF"/>
        <w:spacing w:after="150" w:line="240" w:lineRule="auto"/>
        <w:rPr>
          <w:rFonts w:ascii="Lora" w:eastAsia="Times New Roman" w:hAnsi="Lora" w:cs="Times New Roman"/>
          <w:b/>
          <w:bCs/>
          <w:color w:val="000000"/>
          <w:spacing w:val="15"/>
          <w:sz w:val="23"/>
          <w:lang w:eastAsia="fr-FR"/>
        </w:rPr>
      </w:pPr>
      <w:r w:rsidRPr="000344B4">
        <w:rPr>
          <w:rFonts w:ascii="Lora" w:eastAsia="Times New Roman" w:hAnsi="Lora" w:cs="Times New Roman"/>
          <w:color w:val="000000"/>
          <w:spacing w:val="15"/>
          <w:sz w:val="21"/>
          <w:szCs w:val="21"/>
          <w:lang w:eastAsia="fr-FR"/>
        </w:rPr>
        <w:t>​</w:t>
      </w:r>
    </w:p>
    <w:p w14:paraId="3063C3D7" w14:textId="564C2E14" w:rsidR="000344B4" w:rsidRPr="000344B4" w:rsidRDefault="000344B4" w:rsidP="000344B4">
      <w:pPr>
        <w:pStyle w:val="Paragraphedeliste"/>
        <w:numPr>
          <w:ilvl w:val="0"/>
          <w:numId w:val="1"/>
        </w:numPr>
        <w:shd w:val="clear" w:color="auto" w:fill="FFFFFF"/>
        <w:spacing w:after="150" w:line="240" w:lineRule="auto"/>
        <w:rPr>
          <w:rFonts w:ascii="Lora" w:eastAsia="Times New Roman" w:hAnsi="Lora" w:cs="Times New Roman"/>
          <w:b/>
          <w:bCs/>
          <w:color w:val="002060"/>
          <w:spacing w:val="15"/>
          <w:sz w:val="23"/>
          <w:lang w:eastAsia="fr-FR"/>
        </w:rPr>
      </w:pPr>
      <w:r w:rsidRPr="000344B4">
        <w:rPr>
          <w:rFonts w:ascii="Lora" w:eastAsia="Times New Roman" w:hAnsi="Lora" w:cs="Times New Roman"/>
          <w:b/>
          <w:bCs/>
          <w:color w:val="002060"/>
          <w:spacing w:val="15"/>
          <w:sz w:val="23"/>
          <w:lang w:eastAsia="fr-FR"/>
        </w:rPr>
        <w:t xml:space="preserve">Liste additive « concentrateurs d’oxygène de toute capacités </w:t>
      </w:r>
      <w:r>
        <w:rPr>
          <w:rFonts w:ascii="Lora" w:eastAsia="Times New Roman" w:hAnsi="Lora" w:cs="Times New Roman"/>
          <w:b/>
          <w:bCs/>
          <w:color w:val="002060"/>
          <w:spacing w:val="15"/>
          <w:sz w:val="23"/>
          <w:lang w:eastAsia="fr-FR"/>
        </w:rPr>
        <w:t>-</w:t>
      </w:r>
      <w:r w:rsidRPr="000344B4">
        <w:rPr>
          <w:rFonts w:ascii="Lora" w:eastAsia="Times New Roman" w:hAnsi="Lora" w:cs="Times New Roman"/>
          <w:b/>
          <w:bCs/>
          <w:color w:val="002060"/>
          <w:spacing w:val="15"/>
          <w:sz w:val="23"/>
          <w:lang w:eastAsia="fr-FR"/>
        </w:rPr>
        <w:t xml:space="preserve">exonérés de la TVA et droits de douane : </w:t>
      </w:r>
    </w:p>
    <w:p w14:paraId="4AD899E1" w14:textId="06817B4C" w:rsidR="000344B4" w:rsidRPr="000344B4" w:rsidRDefault="000344B4" w:rsidP="000344B4">
      <w:pPr>
        <w:shd w:val="clear" w:color="auto" w:fill="FFFFFF"/>
        <w:spacing w:after="150" w:line="240" w:lineRule="auto"/>
        <w:jc w:val="center"/>
        <w:rPr>
          <w:rFonts w:ascii="Lora" w:eastAsia="Times New Roman" w:hAnsi="Lora" w:cs="Times New Roman"/>
          <w:color w:val="000000"/>
          <w:spacing w:val="15"/>
          <w:sz w:val="21"/>
          <w:szCs w:val="21"/>
          <w:lang w:eastAsia="fr-FR"/>
        </w:rPr>
      </w:pPr>
      <w:r w:rsidRPr="000344B4">
        <w:rPr>
          <w:rFonts w:ascii="Lora" w:eastAsia="Times New Roman" w:hAnsi="Lora" w:cs="Times New Roman"/>
          <w:color w:val="000000"/>
          <w:spacing w:val="15"/>
          <w:sz w:val="21"/>
          <w:szCs w:val="21"/>
          <w:lang w:eastAsia="fr-FR"/>
        </w:rPr>
        <w:t>Direction Générale de Douanes </w:t>
      </w:r>
    </w:p>
    <w:p w14:paraId="7294236D" w14:textId="77777777" w:rsidR="000344B4" w:rsidRPr="000344B4" w:rsidRDefault="000344B4" w:rsidP="000344B4">
      <w:pPr>
        <w:shd w:val="clear" w:color="auto" w:fill="FFFFFF"/>
        <w:spacing w:after="150" w:line="240" w:lineRule="auto"/>
        <w:jc w:val="center"/>
        <w:rPr>
          <w:rFonts w:ascii="Lora" w:eastAsia="Times New Roman" w:hAnsi="Lora" w:cs="Times New Roman"/>
          <w:color w:val="000000"/>
          <w:spacing w:val="15"/>
          <w:sz w:val="21"/>
          <w:szCs w:val="21"/>
          <w:lang w:eastAsia="fr-FR"/>
        </w:rPr>
      </w:pPr>
    </w:p>
    <w:p w14:paraId="382012DF" w14:textId="77777777" w:rsidR="000344B4" w:rsidRPr="000344B4" w:rsidRDefault="000344B4" w:rsidP="000344B4">
      <w:pPr>
        <w:shd w:val="clear" w:color="auto" w:fill="FFFFFF"/>
        <w:spacing w:after="150" w:line="240" w:lineRule="auto"/>
        <w:jc w:val="both"/>
        <w:rPr>
          <w:rFonts w:ascii="Lora" w:eastAsia="Times New Roman" w:hAnsi="Lora" w:cs="Times New Roman"/>
          <w:color w:val="000000"/>
          <w:spacing w:val="15"/>
          <w:sz w:val="21"/>
          <w:szCs w:val="21"/>
          <w:lang w:eastAsia="fr-FR"/>
        </w:rPr>
      </w:pPr>
      <w:r w:rsidRPr="000344B4">
        <w:rPr>
          <w:rFonts w:ascii="Lora" w:eastAsia="Times New Roman" w:hAnsi="Lora" w:cs="Times New Roman"/>
          <w:color w:val="000000"/>
          <w:spacing w:val="15"/>
          <w:sz w:val="21"/>
          <w:szCs w:val="21"/>
          <w:lang w:eastAsia="fr-FR"/>
        </w:rPr>
        <w:t>LISTE ADDITIVE DES PRODUITS PHARMACEUTIQUES, DES DISPOSITIFS MEDICAUX, DES EQUIPEMENTS DE DETECTION, DES ACCESSOIRES ET DES PIECES DE RECHANGE DE CES EQUIPEMENTS, UTILISES DANS LA RIPOSTE A LA PANDEMIE DU CORONAVIRUS (COVID-19), BENEFICIANT DE :</w:t>
      </w:r>
    </w:p>
    <w:p w14:paraId="4180BBAB" w14:textId="77777777" w:rsidR="000344B4" w:rsidRPr="000344B4" w:rsidRDefault="000344B4" w:rsidP="000344B4">
      <w:pPr>
        <w:shd w:val="clear" w:color="auto" w:fill="FFFFFF"/>
        <w:spacing w:after="150" w:line="240" w:lineRule="auto"/>
        <w:jc w:val="both"/>
        <w:rPr>
          <w:rFonts w:ascii="Lora" w:eastAsia="Times New Roman" w:hAnsi="Lora" w:cs="Times New Roman"/>
          <w:color w:val="000000"/>
          <w:spacing w:val="15"/>
          <w:sz w:val="21"/>
          <w:szCs w:val="21"/>
          <w:lang w:eastAsia="fr-FR"/>
        </w:rPr>
      </w:pPr>
      <w:r w:rsidRPr="000344B4">
        <w:rPr>
          <w:rFonts w:ascii="Lora" w:eastAsia="Times New Roman" w:hAnsi="Lora" w:cs="Times New Roman"/>
          <w:color w:val="000000"/>
          <w:spacing w:val="15"/>
          <w:sz w:val="21"/>
          <w:szCs w:val="21"/>
          <w:lang w:eastAsia="fr-FR"/>
        </w:rPr>
        <w:t>-  L’EXEMPTION, A TITRE TEMPORAIRE, DE LA TAXE SUR LA VALEUR AJOUTEE ET DES DROITS DE DOUANE, CONFORMEMENT A L’ARTICLE 36 DE LA LOI DE FINANCES COMPLEMENTAIRE POUR 2020 ;</w:t>
      </w:r>
    </w:p>
    <w:p w14:paraId="02AC73FB" w14:textId="77777777" w:rsidR="000344B4" w:rsidRPr="000344B4" w:rsidRDefault="000344B4" w:rsidP="000344B4">
      <w:pPr>
        <w:shd w:val="clear" w:color="auto" w:fill="FFFFFF"/>
        <w:spacing w:after="150" w:line="240" w:lineRule="auto"/>
        <w:jc w:val="both"/>
        <w:rPr>
          <w:rFonts w:ascii="Lora" w:eastAsia="Times New Roman" w:hAnsi="Lora" w:cs="Times New Roman"/>
          <w:color w:val="000000"/>
          <w:spacing w:val="15"/>
          <w:sz w:val="21"/>
          <w:szCs w:val="21"/>
          <w:lang w:eastAsia="fr-FR"/>
        </w:rPr>
      </w:pPr>
      <w:r w:rsidRPr="000344B4">
        <w:rPr>
          <w:rFonts w:ascii="Lora" w:eastAsia="Times New Roman" w:hAnsi="Lora" w:cs="Times New Roman"/>
          <w:color w:val="000000"/>
          <w:spacing w:val="15"/>
          <w:sz w:val="21"/>
          <w:szCs w:val="21"/>
          <w:lang w:eastAsia="fr-FR"/>
        </w:rPr>
        <w:t>-  DES MESURES DE FACILITATION DE L’APPROVISIONNEMENT DU MARCHE NATIONAL CONFORMEMENT AU DECRET EXECUTIF N°20-109 DU 5 MAI 2020.</w:t>
      </w:r>
    </w:p>
    <w:p w14:paraId="2CEA0408" w14:textId="77777777" w:rsidR="000344B4" w:rsidRPr="000344B4" w:rsidRDefault="000344B4" w:rsidP="000344B4">
      <w:pPr>
        <w:shd w:val="clear" w:color="auto" w:fill="FFFFFF"/>
        <w:spacing w:after="150" w:line="240" w:lineRule="auto"/>
        <w:jc w:val="both"/>
        <w:rPr>
          <w:rFonts w:ascii="Lora" w:eastAsia="Times New Roman" w:hAnsi="Lora" w:cs="Times New Roman"/>
          <w:color w:val="000000"/>
          <w:spacing w:val="15"/>
          <w:sz w:val="21"/>
          <w:szCs w:val="21"/>
          <w:lang w:eastAsia="fr-FR"/>
        </w:rPr>
      </w:pPr>
      <w:r w:rsidRPr="000344B4">
        <w:rPr>
          <w:rFonts w:ascii="Lora" w:eastAsia="Times New Roman" w:hAnsi="Lora" w:cs="Times New Roman"/>
          <w:color w:val="000000"/>
          <w:spacing w:val="15"/>
          <w:sz w:val="21"/>
          <w:szCs w:val="21"/>
          <w:lang w:eastAsia="fr-FR"/>
        </w:rPr>
        <w:t> </w:t>
      </w:r>
    </w:p>
    <w:tbl>
      <w:tblPr>
        <w:tblW w:w="897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5"/>
        <w:gridCol w:w="1823"/>
        <w:gridCol w:w="3602"/>
        <w:gridCol w:w="198"/>
      </w:tblGrid>
      <w:tr w:rsidR="000344B4" w:rsidRPr="000344B4" w14:paraId="352DAD39" w14:textId="77777777" w:rsidTr="000344B4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8A961F4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Produits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51F9D38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Sous positions tarifaires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8DF1D13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Libelle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26B306E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0344B4" w:rsidRPr="000344B4" w14:paraId="714EE679" w14:textId="77777777" w:rsidTr="000344B4">
        <w:tc>
          <w:tcPr>
            <w:tcW w:w="0" w:type="auto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45B4590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Concentrateurs d’oxygène de toute capacité ainsi que tous les équipements utilisés dans le traitement par l’oxygène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C8887B2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9019.20.10.00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CCA7E1A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- - - Appareils d'ozonothérapie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F545508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0344B4" w:rsidRPr="000344B4" w14:paraId="53ABB2FF" w14:textId="77777777" w:rsidTr="000344B4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7AECB69A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6261B84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9019.20.20.00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EFA949B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- - - Appareils d'oxygénothérapie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E23EF9A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0344B4" w:rsidRPr="000344B4" w14:paraId="6B555E31" w14:textId="77777777" w:rsidTr="000344B4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7CFEC87C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5E33CF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9019.20.30.00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9F6624B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- - - Appareils d'aérosolthérapie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C25A5C6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0344B4" w:rsidRPr="000344B4" w14:paraId="012C7C7B" w14:textId="77777777" w:rsidTr="000344B4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450B5FA8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061928F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9019.20.40.00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A4072AF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- - - Appareils respiratoires de réanimation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57C6B48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0344B4" w:rsidRPr="000344B4" w14:paraId="708FB05E" w14:textId="77777777" w:rsidTr="000344B4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22B02D90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BD0AD9A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9019.20.60.00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FA0CC70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- - - Autres appareils de thérapie respiratoire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6CFE4F8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0344B4" w:rsidRPr="000344B4" w14:paraId="5C3B0312" w14:textId="77777777" w:rsidTr="000344B4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536E01C7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E472468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9019.20.70.00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A4C7FF3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- - - Parties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3D562C5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0344B4" w:rsidRPr="000344B4" w14:paraId="7757D116" w14:textId="77777777" w:rsidTr="000344B4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5EF1ABC5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857836C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EX 8405.10.10.00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059C4CA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Générateurs d’oxygène ou station de production d’oxygène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EDF4B48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0344B4" w:rsidRPr="000344B4" w14:paraId="46D8A288" w14:textId="77777777" w:rsidTr="000344B4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7EFD2137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FF02E4B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EX 8421.39.19.00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C2CE211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Unité ou machine fournissant l’oxygène à travers la filtration de l’azote de l’air ambiant des contaminants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0E97273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0344B4" w:rsidRPr="000344B4" w14:paraId="1DACC40D" w14:textId="77777777" w:rsidTr="000344B4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7FE025E0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1A06D9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EX 9018.39.91.00</w:t>
            </w:r>
          </w:p>
        </w:tc>
        <w:tc>
          <w:tcPr>
            <w:tcW w:w="0" w:type="auto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2859210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Cathéter nasal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9416AD8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0344B4" w:rsidRPr="000344B4" w14:paraId="23B66DFB" w14:textId="77777777" w:rsidTr="000344B4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07E9E990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33B1EDB0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4BF85181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05B902B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0344B4" w:rsidRPr="000344B4" w14:paraId="7D4FFC07" w14:textId="77777777" w:rsidTr="000344B4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28A5FE0B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30FA6E5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 xml:space="preserve">EX </w:t>
            </w: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lastRenderedPageBreak/>
              <w:t>9018.39.99.00</w:t>
            </w:r>
          </w:p>
        </w:tc>
        <w:tc>
          <w:tcPr>
            <w:tcW w:w="0" w:type="auto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A8249D4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lastRenderedPageBreak/>
              <w:t>Sondes ou canules nasales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3570B0E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0344B4" w:rsidRPr="000344B4" w14:paraId="198A24F2" w14:textId="77777777" w:rsidTr="000344B4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0084954E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79606F14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039256BE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0167B6F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0344B4" w:rsidRPr="000344B4" w14:paraId="015D11A8" w14:textId="77777777" w:rsidTr="000344B4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63B826A9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AB01DED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EX 9026.80.90.00</w:t>
            </w:r>
          </w:p>
        </w:tc>
        <w:tc>
          <w:tcPr>
            <w:tcW w:w="0" w:type="auto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178E297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Débitmètre d’oxygène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999E5C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0344B4" w:rsidRPr="000344B4" w14:paraId="56A74AD3" w14:textId="77777777" w:rsidTr="000344B4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6A7B1286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0E829D3D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43D6E415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5F8D8F1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0344B4" w:rsidRPr="000344B4" w14:paraId="117A6422" w14:textId="77777777" w:rsidTr="000344B4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6AEE601C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E9FBBF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2804.40.00.00</w:t>
            </w:r>
          </w:p>
        </w:tc>
        <w:tc>
          <w:tcPr>
            <w:tcW w:w="0" w:type="auto"/>
            <w:vMerge w:val="restart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C6BA5AF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- Oxygène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8BFCF24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0344B4" w:rsidRPr="000344B4" w14:paraId="0699E8C8" w14:textId="77777777" w:rsidTr="000344B4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1F602DD7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47CB6181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606867E1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206610A9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0344B4" w:rsidRPr="000344B4" w14:paraId="359E1C18" w14:textId="77777777" w:rsidTr="000344B4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5983FBC6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75EC0D5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EX 7311.00.21.00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918866B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Bouteilles pour oxygène, en fer, fonte ou acier, d’une contenance de moins de 20 litres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CE984F2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0344B4" w:rsidRPr="000344B4" w14:paraId="2F0A31C5" w14:textId="77777777" w:rsidTr="000344B4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0DA898F1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8000F53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EX 7311.00.22.00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558985A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Bouteilles pour oxygène, en fer, fonte ou acier, d’une contenance de 20 litres ou plus mais n’excédant pas 50 litres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2D98D30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0344B4" w:rsidRPr="000344B4" w14:paraId="0898C0D9" w14:textId="77777777" w:rsidTr="000344B4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35242969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475568A0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EX 7311.00.23.00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29BA6E8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Bouteilles pour oxygène, en fer, fonte ou acier, d’une contenance excédant 50 litres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85ED186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0344B4" w:rsidRPr="000344B4" w14:paraId="5F45D071" w14:textId="77777777" w:rsidTr="000344B4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672AFD07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739D838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EX 7613.00.11.00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0128E504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Bouteilles pour oxygène, en aluminium, d’une contenance de moins de 20 litres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18E689EC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0344B4" w:rsidRPr="000344B4" w14:paraId="1D5C1898" w14:textId="77777777" w:rsidTr="000344B4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145A5CC0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9A4FDE0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EX 7613.00.12.00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9AC6931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Bouteilles pour oxygène, en aluminium, d’une contenance de 20 litres ou plus mais n’excédant pas 50 litres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664C6F70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  <w:tr w:rsidR="000344B4" w:rsidRPr="000344B4" w14:paraId="05C82118" w14:textId="77777777" w:rsidTr="000344B4">
        <w:tc>
          <w:tcPr>
            <w:tcW w:w="0" w:type="auto"/>
            <w:vMerge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vAlign w:val="center"/>
            <w:hideMark/>
          </w:tcPr>
          <w:p w14:paraId="71285130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32BF93B4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EX 7613.00.13.00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7A921E34" w14:textId="77777777" w:rsidR="000344B4" w:rsidRPr="000344B4" w:rsidRDefault="000344B4" w:rsidP="000344B4">
            <w:pPr>
              <w:spacing w:after="15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  <w:r w:rsidRPr="000344B4"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  <w:t>Bouteilles pour oxygène, en aluminium, d’une contenance excédant 50 litres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14:paraId="529DAB79" w14:textId="77777777" w:rsidR="000344B4" w:rsidRPr="000344B4" w:rsidRDefault="000344B4" w:rsidP="000344B4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fr-FR"/>
              </w:rPr>
            </w:pPr>
          </w:p>
        </w:tc>
      </w:tr>
    </w:tbl>
    <w:p w14:paraId="69AA4AEA" w14:textId="77777777" w:rsidR="000344B4" w:rsidRPr="000344B4" w:rsidRDefault="000344B4" w:rsidP="000344B4">
      <w:pPr>
        <w:shd w:val="clear" w:color="auto" w:fill="FFFFFF"/>
        <w:spacing w:after="150" w:line="240" w:lineRule="auto"/>
        <w:jc w:val="both"/>
        <w:rPr>
          <w:rFonts w:ascii="Lora" w:eastAsia="Times New Roman" w:hAnsi="Lora" w:cs="Times New Roman"/>
          <w:color w:val="000000"/>
          <w:spacing w:val="15"/>
          <w:sz w:val="21"/>
          <w:szCs w:val="21"/>
          <w:lang w:eastAsia="fr-FR"/>
        </w:rPr>
      </w:pPr>
      <w:r w:rsidRPr="000344B4">
        <w:rPr>
          <w:rFonts w:ascii="Lora" w:eastAsia="Times New Roman" w:hAnsi="Lora" w:cs="Times New Roman"/>
          <w:color w:val="000000"/>
          <w:spacing w:val="15"/>
          <w:sz w:val="21"/>
          <w:szCs w:val="21"/>
          <w:lang w:eastAsia="fr-FR"/>
        </w:rPr>
        <w:t> </w:t>
      </w:r>
    </w:p>
    <w:p w14:paraId="4E0AD8DD" w14:textId="77777777" w:rsidR="00DC3B35" w:rsidRDefault="00DC3B35"/>
    <w:sectPr w:rsidR="00DC3B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ra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D2648C"/>
    <w:multiLevelType w:val="hybridMultilevel"/>
    <w:tmpl w:val="55DEB4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4B4"/>
    <w:rsid w:val="000344B4"/>
    <w:rsid w:val="00DC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A451"/>
  <w15:chartTrackingRefBased/>
  <w15:docId w15:val="{25128ABD-64E5-4FB7-B8F3-F724A2D5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4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06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seltan2 seltan2</dc:creator>
  <cp:keywords/>
  <dc:description/>
  <cp:lastModifiedBy>seltan2 seltan2</cp:lastModifiedBy>
  <cp:revision>1</cp:revision>
  <dcterms:created xsi:type="dcterms:W3CDTF">2021-08-08T15:51:00Z</dcterms:created>
  <dcterms:modified xsi:type="dcterms:W3CDTF">2021-08-08T15:53:00Z</dcterms:modified>
</cp:coreProperties>
</file>